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FFFE0" w14:textId="77777777" w:rsidR="005C1B77" w:rsidRPr="00522A55" w:rsidRDefault="005C1B77" w:rsidP="005C1B77">
      <w:pPr>
        <w:jc w:val="center"/>
        <w:rPr>
          <w:rFonts w:ascii="Arial" w:hAnsi="Arial" w:cs="Arial"/>
          <w:b/>
          <w:sz w:val="28"/>
          <w:szCs w:val="28"/>
        </w:rPr>
      </w:pPr>
      <w:r w:rsidRPr="00522A55">
        <w:rPr>
          <w:rFonts w:ascii="Arial" w:hAnsi="Arial" w:cs="Arial"/>
          <w:b/>
          <w:sz w:val="28"/>
          <w:szCs w:val="28"/>
        </w:rPr>
        <w:t>Technická správa</w:t>
      </w:r>
    </w:p>
    <w:p w14:paraId="193810FD" w14:textId="77777777" w:rsidR="005C1B77" w:rsidRPr="00522A55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522A55">
        <w:rPr>
          <w:rFonts w:ascii="Arial" w:hAnsi="Arial" w:cs="Arial"/>
          <w:b/>
          <w:sz w:val="24"/>
          <w:szCs w:val="24"/>
        </w:rPr>
        <w:t>Všeobecne</w:t>
      </w:r>
    </w:p>
    <w:p w14:paraId="16F080DF" w14:textId="31FF4EB3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522A55">
        <w:rPr>
          <w:rFonts w:ascii="Arial" w:hAnsi="Arial" w:cs="Arial"/>
          <w:sz w:val="20"/>
          <w:szCs w:val="20"/>
        </w:rPr>
        <w:t xml:space="preserve">Predmetom tejto projektovej dokumentácie je </w:t>
      </w:r>
      <w:r w:rsidR="006A7830">
        <w:rPr>
          <w:rFonts w:ascii="Arial" w:hAnsi="Arial" w:cs="Arial"/>
          <w:sz w:val="20"/>
          <w:szCs w:val="20"/>
        </w:rPr>
        <w:t>návrh verejného osvetlenia</w:t>
      </w:r>
      <w:r w:rsidRPr="00522A55">
        <w:rPr>
          <w:rFonts w:ascii="Arial" w:hAnsi="Arial" w:cs="Arial"/>
          <w:b/>
          <w:sz w:val="20"/>
          <w:szCs w:val="20"/>
        </w:rPr>
        <w:t xml:space="preserve"> </w:t>
      </w:r>
      <w:r w:rsidR="00522A55" w:rsidRPr="00522A55">
        <w:rPr>
          <w:rFonts w:ascii="Arial" w:hAnsi="Arial" w:cs="Arial"/>
          <w:bCs/>
          <w:sz w:val="20"/>
          <w:szCs w:val="20"/>
        </w:rPr>
        <w:t>v rámci rieše</w:t>
      </w:r>
      <w:r w:rsidR="00901F0B">
        <w:rPr>
          <w:rFonts w:ascii="Arial" w:hAnsi="Arial" w:cs="Arial"/>
          <w:bCs/>
          <w:sz w:val="20"/>
          <w:szCs w:val="20"/>
        </w:rPr>
        <w:t xml:space="preserve">nej </w:t>
      </w:r>
      <w:r w:rsidR="00522A55" w:rsidRPr="00522A55">
        <w:rPr>
          <w:rFonts w:ascii="Arial" w:hAnsi="Arial" w:cs="Arial"/>
          <w:bCs/>
          <w:sz w:val="20"/>
          <w:szCs w:val="20"/>
        </w:rPr>
        <w:t>stavby Bytový dom Terchovská</w:t>
      </w:r>
      <w:r w:rsidRPr="00522A55">
        <w:rPr>
          <w:rFonts w:ascii="Arial" w:hAnsi="Arial" w:cs="Arial"/>
          <w:sz w:val="20"/>
          <w:szCs w:val="20"/>
        </w:rPr>
        <w:t xml:space="preserve">. </w:t>
      </w:r>
      <w:r w:rsidR="00522A55" w:rsidRPr="00522A55">
        <w:rPr>
          <w:rFonts w:ascii="Arial" w:hAnsi="Arial" w:cs="Arial"/>
          <w:sz w:val="20"/>
          <w:szCs w:val="20"/>
        </w:rPr>
        <w:t xml:space="preserve">Projekt rieši návrh osvetlenia </w:t>
      </w:r>
      <w:r w:rsidR="00901F0B">
        <w:rPr>
          <w:rFonts w:ascii="Arial" w:hAnsi="Arial" w:cs="Arial"/>
          <w:sz w:val="20"/>
          <w:szCs w:val="20"/>
        </w:rPr>
        <w:t>vo vnútrobloku daného objektu.</w:t>
      </w:r>
      <w:r w:rsidRPr="00522A55">
        <w:rPr>
          <w:rFonts w:ascii="Arial" w:hAnsi="Arial" w:cs="Arial"/>
          <w:sz w:val="20"/>
          <w:szCs w:val="20"/>
        </w:rPr>
        <w:t xml:space="preserve"> Projekt je vypracovaný v rozsahu dokumentácia pre </w:t>
      </w:r>
      <w:r w:rsidRPr="006A7830">
        <w:rPr>
          <w:rFonts w:ascii="Arial" w:hAnsi="Arial" w:cs="Arial"/>
          <w:sz w:val="20"/>
          <w:szCs w:val="20"/>
        </w:rPr>
        <w:t>stavebné povolenie.</w:t>
      </w:r>
    </w:p>
    <w:p w14:paraId="238C9F04" w14:textId="4AACAAF5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Názov stavby:</w:t>
      </w:r>
      <w:r w:rsidRPr="006A7830">
        <w:rPr>
          <w:rFonts w:ascii="Arial" w:hAnsi="Arial" w:cs="Arial"/>
          <w:sz w:val="20"/>
          <w:szCs w:val="20"/>
        </w:rPr>
        <w:tab/>
      </w:r>
      <w:r w:rsidR="006A7830" w:rsidRPr="006A7830">
        <w:rPr>
          <w:rFonts w:ascii="Arial" w:hAnsi="Arial" w:cs="Arial"/>
          <w:bCs/>
          <w:sz w:val="20"/>
          <w:szCs w:val="20"/>
        </w:rPr>
        <w:t>Bytový dom Terchovská</w:t>
      </w:r>
      <w:r w:rsidR="0075283D">
        <w:rPr>
          <w:rFonts w:ascii="Arial" w:hAnsi="Arial" w:cs="Arial"/>
          <w:bCs/>
          <w:sz w:val="20"/>
          <w:szCs w:val="20"/>
        </w:rPr>
        <w:t xml:space="preserve"> a dotknuté územie</w:t>
      </w:r>
    </w:p>
    <w:p w14:paraId="446F2B41" w14:textId="0AC300A9" w:rsidR="005C1B77" w:rsidRPr="006A7830" w:rsidRDefault="005C1B77" w:rsidP="000C1F0B">
      <w:pPr>
        <w:ind w:left="1410" w:hanging="1410"/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Miesto stavby:</w:t>
      </w:r>
      <w:r w:rsidRPr="006A7830">
        <w:rPr>
          <w:rFonts w:ascii="Arial" w:hAnsi="Arial" w:cs="Arial"/>
          <w:sz w:val="20"/>
          <w:szCs w:val="20"/>
        </w:rPr>
        <w:tab/>
      </w:r>
      <w:r w:rsidR="000C1F0B" w:rsidRPr="0011731F">
        <w:rPr>
          <w:rFonts w:ascii="Arial" w:hAnsi="Arial" w:cs="Arial"/>
          <w:sz w:val="20"/>
          <w:szCs w:val="20"/>
        </w:rPr>
        <w:t>Okres Bratislava II., Obec: BA-m.č. Ružinov, k.ú. Trnávka, pozemky na parcelách registra „C“ p.č. 17007/47, p.č. 17007/46 , p.č. 17014/2, p.č. 17016/1, p.č. 14472/1, p.č. 14472/53, p.č. 22247/9</w:t>
      </w:r>
    </w:p>
    <w:p w14:paraId="5A89E1F9" w14:textId="77777777" w:rsidR="00DC0388" w:rsidRDefault="00DC0388" w:rsidP="00DC038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Investor:</w:t>
      </w:r>
      <w:r>
        <w:rPr>
          <w:rFonts w:ascii="Arial" w:hAnsi="Arial" w:cs="Arial"/>
          <w:sz w:val="20"/>
          <w:szCs w:val="20"/>
        </w:rPr>
        <w:tab/>
        <w:t>Hlavné mesto Slovenskej republiky</w:t>
      </w:r>
    </w:p>
    <w:p w14:paraId="76AF03B1" w14:textId="77777777" w:rsidR="00DC0388" w:rsidRDefault="00DC0388" w:rsidP="00DC0388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Primaciálne nám. 1</w:t>
      </w:r>
    </w:p>
    <w:p w14:paraId="5AC58B9C" w14:textId="26DFCDF5" w:rsidR="00DC0388" w:rsidRDefault="00DC0388" w:rsidP="005C1B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811 99 Bratislava</w:t>
      </w:r>
    </w:p>
    <w:p w14:paraId="77DB2D75" w14:textId="5FC9C633" w:rsidR="005C1B77" w:rsidRPr="006A7830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A7830">
        <w:rPr>
          <w:rFonts w:ascii="Arial" w:hAnsi="Arial" w:cs="Arial"/>
          <w:sz w:val="20"/>
          <w:szCs w:val="20"/>
        </w:rPr>
        <w:t>Stupeň PD:</w:t>
      </w:r>
      <w:r w:rsidRPr="006A7830">
        <w:rPr>
          <w:rFonts w:ascii="Arial" w:hAnsi="Arial" w:cs="Arial"/>
          <w:sz w:val="20"/>
          <w:szCs w:val="20"/>
        </w:rPr>
        <w:tab/>
      </w:r>
      <w:r w:rsidRPr="006A7830">
        <w:rPr>
          <w:rFonts w:ascii="Arial" w:hAnsi="Arial" w:cs="Arial"/>
          <w:b/>
          <w:sz w:val="20"/>
          <w:szCs w:val="20"/>
        </w:rPr>
        <w:t>Dokumentácia pre stavebné povolenie</w:t>
      </w:r>
    </w:p>
    <w:p w14:paraId="2E6BE15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Predmetom projektu je</w:t>
      </w:r>
    </w:p>
    <w:p w14:paraId="6E4D7E85" w14:textId="0C2B48B8" w:rsidR="006A7830" w:rsidRPr="00620962" w:rsidRDefault="006A7830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SO </w:t>
      </w:r>
      <w:r w:rsidR="00901F0B">
        <w:rPr>
          <w:rFonts w:ascii="Arial" w:hAnsi="Arial" w:cs="Arial"/>
          <w:sz w:val="20"/>
          <w:szCs w:val="20"/>
        </w:rPr>
        <w:t>4</w:t>
      </w:r>
      <w:r w:rsidRPr="00620962">
        <w:rPr>
          <w:rFonts w:ascii="Arial" w:hAnsi="Arial" w:cs="Arial"/>
          <w:sz w:val="20"/>
          <w:szCs w:val="20"/>
        </w:rPr>
        <w:t xml:space="preserve">06 </w:t>
      </w:r>
      <w:r w:rsidR="00901F0B">
        <w:rPr>
          <w:rFonts w:ascii="Arial" w:hAnsi="Arial" w:cs="Arial"/>
          <w:sz w:val="20"/>
          <w:szCs w:val="20"/>
        </w:rPr>
        <w:t>O</w:t>
      </w:r>
      <w:r w:rsidRPr="00620962">
        <w:rPr>
          <w:rFonts w:ascii="Arial" w:hAnsi="Arial" w:cs="Arial"/>
          <w:sz w:val="20"/>
          <w:szCs w:val="20"/>
        </w:rPr>
        <w:t>svetlenie</w:t>
      </w:r>
      <w:r w:rsidR="00901F0B">
        <w:rPr>
          <w:rFonts w:ascii="Arial" w:hAnsi="Arial" w:cs="Arial"/>
          <w:sz w:val="20"/>
          <w:szCs w:val="20"/>
        </w:rPr>
        <w:t xml:space="preserve"> vnútrobloku</w:t>
      </w:r>
    </w:p>
    <w:p w14:paraId="56DC4F0D" w14:textId="77777777" w:rsidR="005C1B77" w:rsidRPr="00620962" w:rsidRDefault="005C1B77" w:rsidP="005C1B77">
      <w:pPr>
        <w:jc w:val="both"/>
        <w:rPr>
          <w:rFonts w:ascii="Arial" w:hAnsi="Arial" w:cs="Arial"/>
          <w:b/>
          <w:sz w:val="24"/>
          <w:szCs w:val="24"/>
        </w:rPr>
      </w:pPr>
      <w:r w:rsidRPr="00620962">
        <w:rPr>
          <w:rFonts w:ascii="Arial" w:hAnsi="Arial" w:cs="Arial"/>
          <w:b/>
          <w:sz w:val="24"/>
          <w:szCs w:val="24"/>
        </w:rPr>
        <w:t>Základné údaje</w:t>
      </w:r>
    </w:p>
    <w:p w14:paraId="5CD191C5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Predpisy a normy</w:t>
      </w:r>
    </w:p>
    <w:p w14:paraId="6ED2098E" w14:textId="77777777" w:rsidR="005C1B77" w:rsidRPr="00620962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Projektová dokumentácia je spracovaná v súlade s platnými slovenskými zákonmi, vyhláškami a normami. </w:t>
      </w:r>
    </w:p>
    <w:p w14:paraId="0AC5885F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Stupeň zabezpečenia dodávky el. energie v zmysle STN 34 1610 § 16 107</w:t>
      </w:r>
    </w:p>
    <w:p w14:paraId="570D5AAF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 xml:space="preserve">Tretí </w:t>
      </w:r>
    </w:p>
    <w:p w14:paraId="365CD1ED" w14:textId="77777777" w:rsidR="005C1B77" w:rsidRPr="00620962" w:rsidRDefault="005C1B77" w:rsidP="005C1B77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620962">
        <w:rPr>
          <w:rFonts w:ascii="Arial" w:eastAsia="Calibri" w:hAnsi="Arial" w:cs="Arial"/>
          <w:b/>
          <w:sz w:val="20"/>
          <w:szCs w:val="20"/>
        </w:rPr>
        <w:t>Skupina elektrických zariadení podľa Vyhlášky MPSVaR Slovenskej republiky č. 398/2013, ktorou sa mení a dopĺňa vyhláška MPSVaR Slovenskej republiky č. 508/2009 Zb.z. § 2, odst.1., resp. prílohy 1, časť III</w:t>
      </w:r>
    </w:p>
    <w:p w14:paraId="21EE4F96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Skupina „B“</w:t>
      </w:r>
    </w:p>
    <w:p w14:paraId="4E6FE2D7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Rozvodná sústava</w:t>
      </w:r>
    </w:p>
    <w:p w14:paraId="355E3889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3+PEN AC 50 Hz 230/400V TN-C</w:t>
      </w:r>
    </w:p>
    <w:p w14:paraId="7AAB9EDB" w14:textId="7757971A" w:rsidR="005C1B77" w:rsidRPr="00620962" w:rsidRDefault="00620962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1</w:t>
      </w:r>
      <w:r w:rsidR="005C1B77" w:rsidRPr="00620962">
        <w:rPr>
          <w:rFonts w:ascii="Arial" w:hAnsi="Arial" w:cs="Arial"/>
          <w:sz w:val="20"/>
          <w:szCs w:val="20"/>
        </w:rPr>
        <w:t>+N+PE AC 50 Hz 230V TN-C-S</w:t>
      </w:r>
    </w:p>
    <w:p w14:paraId="24FA3584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620962">
        <w:rPr>
          <w:rFonts w:ascii="Arial" w:hAnsi="Arial" w:cs="Arial"/>
          <w:b/>
          <w:sz w:val="20"/>
          <w:szCs w:val="20"/>
        </w:rPr>
        <w:t>Druhy ochranných opatrení pred zásahom elektrickým prúdom</w:t>
      </w:r>
    </w:p>
    <w:p w14:paraId="2DE3C978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ochrana - ochrana pred priamym dotykom podľa STN 33 2000-4-41:</w:t>
      </w:r>
    </w:p>
    <w:p w14:paraId="16B4C322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2FAEAE38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Základná izolácia živých častí - príloha A.1</w:t>
      </w:r>
    </w:p>
    <w:p w14:paraId="5B5E5D07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Zábrany alebo kryty - príloha A.2</w:t>
      </w:r>
    </w:p>
    <w:p w14:paraId="4E23C8B5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Dvojitá alebo zosilnená izolácia – kap. 412</w:t>
      </w:r>
    </w:p>
    <w:p w14:paraId="4DD7A890" w14:textId="77777777" w:rsidR="005C1B77" w:rsidRPr="00620962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Ochrana pri poruche - ochrana pred nepriamym dotykom podľa STN 33 2000-4-41:</w:t>
      </w:r>
    </w:p>
    <w:p w14:paraId="656A69DC" w14:textId="77777777" w:rsidR="005C1B77" w:rsidRPr="00620962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napájania - kap. 411</w:t>
      </w:r>
    </w:p>
    <w:p w14:paraId="3E6C1D0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Ochranné uzemnenie a ochranné pospájanie - čl.411.3.1</w:t>
      </w:r>
    </w:p>
    <w:p w14:paraId="54A3466D" w14:textId="77777777" w:rsidR="005C1B77" w:rsidRPr="00620962" w:rsidRDefault="005C1B77" w:rsidP="005C1B77">
      <w:pPr>
        <w:pStyle w:val="Odsekzoznamu"/>
        <w:numPr>
          <w:ilvl w:val="0"/>
          <w:numId w:val="5"/>
        </w:numPr>
        <w:ind w:left="567" w:hanging="283"/>
        <w:jc w:val="both"/>
        <w:rPr>
          <w:rFonts w:ascii="Arial" w:hAnsi="Arial" w:cs="Arial"/>
          <w:sz w:val="20"/>
          <w:szCs w:val="20"/>
        </w:rPr>
      </w:pPr>
      <w:r w:rsidRPr="00620962">
        <w:rPr>
          <w:rFonts w:ascii="Arial" w:hAnsi="Arial" w:cs="Arial"/>
          <w:sz w:val="20"/>
          <w:szCs w:val="20"/>
        </w:rPr>
        <w:t>Samočinné odpojenie pri poruche - čl.411.3.2</w:t>
      </w:r>
    </w:p>
    <w:p w14:paraId="16D1A11C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Energetická bilancia</w:t>
      </w:r>
    </w:p>
    <w:p w14:paraId="031E7D07" w14:textId="4BB2F1EF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Pi = </w:t>
      </w:r>
      <w:r w:rsidR="00901F0B">
        <w:rPr>
          <w:rFonts w:ascii="Arial" w:hAnsi="Arial" w:cs="Arial"/>
          <w:sz w:val="20"/>
          <w:szCs w:val="20"/>
        </w:rPr>
        <w:t>0,21</w:t>
      </w:r>
      <w:r w:rsidRPr="002C5695">
        <w:rPr>
          <w:rFonts w:ascii="Arial" w:hAnsi="Arial" w:cs="Arial"/>
          <w:sz w:val="20"/>
          <w:szCs w:val="20"/>
        </w:rPr>
        <w:t xml:space="preserve"> KW</w:t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</w:r>
      <w:r w:rsidRPr="002C5695">
        <w:rPr>
          <w:rFonts w:ascii="Arial" w:hAnsi="Arial" w:cs="Arial"/>
          <w:sz w:val="20"/>
          <w:szCs w:val="20"/>
        </w:rPr>
        <w:tab/>
        <w:t xml:space="preserve">Ps = </w:t>
      </w:r>
      <w:r w:rsidR="00901F0B">
        <w:rPr>
          <w:rFonts w:ascii="Arial" w:hAnsi="Arial" w:cs="Arial"/>
          <w:sz w:val="20"/>
          <w:szCs w:val="20"/>
        </w:rPr>
        <w:t>0,21</w:t>
      </w:r>
      <w:r w:rsidRPr="002C5695">
        <w:rPr>
          <w:rFonts w:ascii="Arial" w:hAnsi="Arial" w:cs="Arial"/>
          <w:sz w:val="20"/>
          <w:szCs w:val="20"/>
        </w:rPr>
        <w:t xml:space="preserve"> kW</w:t>
      </w:r>
    </w:p>
    <w:p w14:paraId="43AF1E7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lastRenderedPageBreak/>
        <w:t>Meranie spotreby el. energie</w:t>
      </w:r>
    </w:p>
    <w:p w14:paraId="303028BA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Fakturačné meranie spotreby elektrickej energie nie je predmetom tejto PD.</w:t>
      </w:r>
    </w:p>
    <w:p w14:paraId="42973738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11A42D9A" w14:textId="77777777" w:rsidR="00901F0B" w:rsidRDefault="00901F0B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14:paraId="3E2E3C68" w14:textId="2AF8460D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Prostredia: určené komisionálne v zmysle STN 332000-5-51</w:t>
      </w:r>
    </w:p>
    <w:p w14:paraId="0ED02C30" w14:textId="77777777" w:rsidR="005C1B77" w:rsidRPr="002C5695" w:rsidRDefault="005C1B77" w:rsidP="005C1B7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Priestory v riešenom objekte sú priestory so zaradením:</w:t>
      </w:r>
    </w:p>
    <w:p w14:paraId="633BEF13" w14:textId="77777777" w:rsidR="005C1B77" w:rsidRPr="002C5695" w:rsidRDefault="005C1B77" w:rsidP="005C1B77">
      <w:pPr>
        <w:pStyle w:val="Odsekzoznamu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Vonkajšie priestory</w:t>
      </w:r>
    </w:p>
    <w:p w14:paraId="0D4F8A3E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Prostredie je stanovené podľa STN 3320005-51: AA7, AB7, AC1, AD1 (tr.4Z6 EN 60721-3-4), AM1-1, AM2-2, AM3-2, AM8-1, AM9-1, AN3, AP1, AQ3, BD1, BE1, CA1, CB1</w:t>
      </w:r>
    </w:p>
    <w:p w14:paraId="3F7713F0" w14:textId="77777777" w:rsidR="005C1B77" w:rsidRPr="002C5695" w:rsidRDefault="005C1B77" w:rsidP="005C1B77">
      <w:pPr>
        <w:jc w:val="both"/>
        <w:rPr>
          <w:rFonts w:ascii="Arial" w:eastAsia="Calibri" w:hAnsi="Arial" w:cs="Arial"/>
          <w:sz w:val="20"/>
          <w:szCs w:val="20"/>
        </w:rPr>
      </w:pPr>
      <w:r w:rsidRPr="002C5695">
        <w:rPr>
          <w:rFonts w:ascii="Arial" w:eastAsia="Calibri" w:hAnsi="Arial" w:cs="Arial"/>
          <w:sz w:val="20"/>
          <w:szCs w:val="20"/>
        </w:rPr>
        <w:t>Prostredia zohľadňujú predpokladané druhy prevádzky. Po uvedení do prevádzky je nutné prehodnotiť určené prostredia a vyhotoviť písomný záznam o ich potvrdení, prípadne o  ich úprave.</w:t>
      </w:r>
    </w:p>
    <w:p w14:paraId="5644A67E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2C5695">
        <w:rPr>
          <w:rFonts w:ascii="Arial" w:hAnsi="Arial" w:cs="Arial"/>
          <w:b/>
          <w:sz w:val="20"/>
          <w:szCs w:val="20"/>
        </w:rPr>
        <w:t>Bezpečnostné upozornenia</w:t>
      </w:r>
    </w:p>
    <w:p w14:paraId="22B4147B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Montáž elektrických rozvodov a zariadení môžu vykonať iba odborne spôsobilé osoby podľa. §21 až §23 vyhl. Ministerstva práce, sociálnych vecí a rodiny SR č.508/2009 Zb.z.. Pri montáži sa musia dodržiavať platné bezpečnostné predpisy, hlavne podľa vyhlášky §3 a §9 SÚBP 59/82Zb. v znení vyhlášky SÚBP a SBÚ 147/2013Zb. a 484/90Zb. Najmä elektrické vedenia musia byť uložené a vyhotovené tak, aby boli prehľadné, čo najkratšie, a aby sa križovali len v odôvodnených prípadoch. Priechody elektrického vedenia stenami a konštrukciami musia byť vyhotovené tak, aby nebolo ohrozené elektrické vedenie, podklady ani okolité priestory. Vzdialenosti vodičov a káblov navzájom, od častí budov, nosných a iných konštrukcií musia byť vyhotovujúce podľa druhu izolácie vodičov a káblov a podľa ich uloženia. Spoje izolovaných vodičov nesmú znižovať stupeň izolácie elektrického vedenia. V rúrkach a podobnom úložnom materiály sa nesmú vodiče spájať. </w:t>
      </w:r>
    </w:p>
    <w:p w14:paraId="71826AF4" w14:textId="77777777" w:rsidR="005C1B77" w:rsidRPr="002C5695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Po montáži, pred uvedením do prevádzky sa musí vykonať odborná prehliadka a odborná skúška podľa. STN 33 1500, STN 33 2000-6 a vyhl. Ministerstva práce, sociálnych vecí a rodiny SR č.508/2009 Zb.z..</w:t>
      </w:r>
    </w:p>
    <w:p w14:paraId="334DFC4A" w14:textId="77777777" w:rsidR="005C1B77" w:rsidRPr="002C5695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>Pri prevádzkovaní navrhovaných el. zariadení dodržiavať ustanovenia STN 34 3100-08.</w:t>
      </w:r>
    </w:p>
    <w:p w14:paraId="51D48137" w14:textId="5A077A30" w:rsidR="005C1B77" w:rsidRPr="002C5695" w:rsidRDefault="00901F0B" w:rsidP="005C1B7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Technické riešenie</w:t>
      </w:r>
    </w:p>
    <w:p w14:paraId="4187C330" w14:textId="3F57D1D2" w:rsidR="003D3D1D" w:rsidRPr="00901F0B" w:rsidRDefault="002C5695" w:rsidP="003D3D1D">
      <w:pPr>
        <w:jc w:val="both"/>
        <w:rPr>
          <w:rFonts w:ascii="Arial" w:hAnsi="Arial" w:cs="Arial"/>
          <w:sz w:val="20"/>
          <w:szCs w:val="20"/>
        </w:rPr>
      </w:pPr>
      <w:r w:rsidRPr="002C5695">
        <w:rPr>
          <w:rFonts w:ascii="Arial" w:hAnsi="Arial" w:cs="Arial"/>
          <w:sz w:val="20"/>
          <w:szCs w:val="20"/>
        </w:rPr>
        <w:t xml:space="preserve">Osvetlenie </w:t>
      </w:r>
      <w:r w:rsidR="00901F0B">
        <w:rPr>
          <w:rFonts w:ascii="Arial" w:hAnsi="Arial" w:cs="Arial"/>
          <w:sz w:val="20"/>
          <w:szCs w:val="20"/>
        </w:rPr>
        <w:t xml:space="preserve">vnútro areálových komunikácií </w:t>
      </w:r>
      <w:r w:rsidRPr="002C5695">
        <w:rPr>
          <w:rFonts w:ascii="Arial" w:hAnsi="Arial" w:cs="Arial"/>
          <w:sz w:val="20"/>
          <w:szCs w:val="20"/>
        </w:rPr>
        <w:t>je navrhnuté v zmysle STN EN 12464-2/20015</w:t>
      </w:r>
      <w:r w:rsidR="00901F0B">
        <w:rPr>
          <w:rFonts w:ascii="Arial" w:hAnsi="Arial" w:cs="Arial"/>
          <w:sz w:val="20"/>
          <w:szCs w:val="20"/>
        </w:rPr>
        <w:t xml:space="preserve"> </w:t>
      </w:r>
      <w:r w:rsidR="003D3D1D">
        <w:rPr>
          <w:rFonts w:ascii="Arial" w:hAnsi="Arial" w:cs="Arial"/>
          <w:sz w:val="20"/>
          <w:szCs w:val="20"/>
        </w:rPr>
        <w:t>tabuľka 5.1</w:t>
      </w:r>
      <w:r w:rsidR="00901F0B">
        <w:rPr>
          <w:rFonts w:ascii="Arial" w:hAnsi="Arial" w:cs="Arial"/>
          <w:sz w:val="20"/>
          <w:szCs w:val="20"/>
        </w:rPr>
        <w:t xml:space="preserve">.1 (chodníky vyhradené pre chodcov) </w:t>
      </w:r>
      <w:r w:rsidR="003D3D1D" w:rsidRPr="003D3D1D">
        <w:rPr>
          <w:rFonts w:ascii="Arial" w:hAnsi="Arial" w:cs="Arial"/>
          <w:sz w:val="20"/>
          <w:szCs w:val="20"/>
        </w:rPr>
        <w:t>s nasledujúcimi požiadavkami:</w:t>
      </w:r>
    </w:p>
    <w:p w14:paraId="630B3BA3" w14:textId="77777777" w:rsidR="003D3D1D" w:rsidRPr="00037062" w:rsidRDefault="003D3D1D" w:rsidP="003D3D1D">
      <w:pPr>
        <w:pStyle w:val="Odsekzoznamu"/>
        <w:numPr>
          <w:ilvl w:val="0"/>
          <w:numId w:val="4"/>
        </w:numPr>
        <w:spacing w:after="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E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 xml:space="preserve">5lx </w:t>
      </w:r>
      <w:r w:rsidRPr="00037062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>udržiavaná hodnota priemernej osvetlenosti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54DD1D6D" w14:textId="0BB6E467" w:rsidR="003D3D1D" w:rsidRPr="003D3D1D" w:rsidRDefault="003D3D1D" w:rsidP="005C1B77">
      <w:pPr>
        <w:pStyle w:val="Odsekzoznamu"/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U</w:t>
      </w:r>
      <w:r>
        <w:rPr>
          <w:rFonts w:ascii="Arial" w:hAnsi="Arial" w:cs="Arial"/>
          <w:i/>
          <w:iCs/>
          <w:sz w:val="20"/>
          <w:szCs w:val="20"/>
          <w:vertAlign w:val="subscript"/>
        </w:rPr>
        <w:t>0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= </w:t>
      </w:r>
      <w:r>
        <w:rPr>
          <w:rFonts w:ascii="Arial" w:hAnsi="Arial" w:cs="Arial"/>
          <w:i/>
          <w:iCs/>
          <w:sz w:val="20"/>
          <w:szCs w:val="20"/>
        </w:rPr>
        <w:t>0,25</w:t>
      </w:r>
      <w:r w:rsidRPr="00037062">
        <w:rPr>
          <w:rFonts w:ascii="Arial" w:hAnsi="Arial" w:cs="Arial"/>
          <w:i/>
          <w:iCs/>
          <w:sz w:val="20"/>
          <w:szCs w:val="20"/>
        </w:rPr>
        <w:t xml:space="preserve"> (</w:t>
      </w:r>
      <w:r>
        <w:rPr>
          <w:rFonts w:ascii="Arial" w:hAnsi="Arial" w:cs="Arial"/>
          <w:i/>
          <w:iCs/>
          <w:sz w:val="20"/>
          <w:szCs w:val="20"/>
        </w:rPr>
        <w:t>minimálna rovnomernosť osvetlenia</w:t>
      </w:r>
      <w:r w:rsidRPr="00037062">
        <w:rPr>
          <w:rFonts w:ascii="Arial" w:hAnsi="Arial" w:cs="Arial"/>
          <w:i/>
          <w:iCs/>
          <w:sz w:val="20"/>
          <w:szCs w:val="20"/>
        </w:rPr>
        <w:t>)</w:t>
      </w:r>
    </w:p>
    <w:p w14:paraId="4C23FF88" w14:textId="77777777" w:rsidR="005C1B77" w:rsidRPr="003D3D1D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D3D1D">
        <w:rPr>
          <w:rFonts w:ascii="Arial" w:hAnsi="Arial" w:cs="Arial"/>
          <w:b/>
          <w:sz w:val="20"/>
          <w:szCs w:val="20"/>
        </w:rPr>
        <w:t>Určenie činiteľa údržby MF</w:t>
      </w:r>
    </w:p>
    <w:p w14:paraId="1C0EEA16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 xml:space="preserve">MF = LLMF x LMF x LSF </w:t>
      </w:r>
    </w:p>
    <w:p w14:paraId="03371421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MF = 0,97 * 0,9 * 1 = 0,87</w:t>
      </w:r>
    </w:p>
    <w:p w14:paraId="730BEA10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LLMF - činiteľ poklesu svetelného toku zdrojov - udáva výrobca v technickom liste</w:t>
      </w:r>
    </w:p>
    <w:p w14:paraId="2B1F4ADF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LSF - činiteľ funkčnej spoľahlivosti svetelných zdrojov - pre LED svietidlá je 1,0</w:t>
      </w:r>
    </w:p>
    <w:p w14:paraId="6A881C82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LMF - činiteľ znečistenia svietidiel - udáva CIE:154:2003, ISBN 390190624X, tabuľa 3.3</w:t>
      </w:r>
    </w:p>
    <w:p w14:paraId="02BA9CB8" w14:textId="77777777" w:rsidR="005C1B77" w:rsidRPr="003D3D1D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D3D1D">
        <w:rPr>
          <w:rFonts w:ascii="Arial" w:hAnsi="Arial" w:cs="Arial"/>
          <w:b/>
          <w:sz w:val="20"/>
          <w:szCs w:val="20"/>
        </w:rPr>
        <w:t>Plán údržby</w:t>
      </w:r>
    </w:p>
    <w:p w14:paraId="4C1AEB20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Výmena svetelných zdrojov - nie je uvažované</w:t>
      </w:r>
    </w:p>
    <w:p w14:paraId="3FBB11E1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Čistenie svetelnočinných častí – každé tri roky</w:t>
      </w:r>
    </w:p>
    <w:p w14:paraId="06A9BAC3" w14:textId="77777777" w:rsidR="005C1B77" w:rsidRPr="003D3D1D" w:rsidRDefault="005C1B77" w:rsidP="005C1B77">
      <w:pPr>
        <w:jc w:val="both"/>
        <w:rPr>
          <w:rFonts w:ascii="Arial" w:hAnsi="Arial" w:cs="Arial"/>
          <w:sz w:val="20"/>
          <w:szCs w:val="20"/>
        </w:rPr>
      </w:pPr>
      <w:r w:rsidRPr="003D3D1D">
        <w:rPr>
          <w:rFonts w:ascii="Arial" w:hAnsi="Arial" w:cs="Arial"/>
          <w:sz w:val="20"/>
          <w:szCs w:val="20"/>
        </w:rPr>
        <w:t>Výmena svietidiel - 23 rokov (doba svietenia 4200 hodín ročne)</w:t>
      </w:r>
    </w:p>
    <w:p w14:paraId="386E6C09" w14:textId="77777777" w:rsidR="005C1B77" w:rsidRPr="003B6078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B6078">
        <w:rPr>
          <w:rFonts w:ascii="Arial" w:hAnsi="Arial" w:cs="Arial"/>
          <w:b/>
          <w:sz w:val="20"/>
          <w:szCs w:val="20"/>
        </w:rPr>
        <w:lastRenderedPageBreak/>
        <w:t>Osvetlenie</w:t>
      </w:r>
    </w:p>
    <w:p w14:paraId="018CE236" w14:textId="77777777" w:rsidR="003337EC" w:rsidRPr="003B6078" w:rsidRDefault="005C1B77" w:rsidP="003337EC">
      <w:pPr>
        <w:jc w:val="both"/>
        <w:rPr>
          <w:rFonts w:ascii="Arial" w:hAnsi="Arial" w:cs="Arial"/>
          <w:bCs/>
          <w:sz w:val="20"/>
          <w:szCs w:val="20"/>
        </w:rPr>
      </w:pPr>
      <w:r w:rsidRPr="003B6078">
        <w:rPr>
          <w:rFonts w:ascii="Arial" w:hAnsi="Arial" w:cs="Arial"/>
          <w:bCs/>
          <w:sz w:val="20"/>
          <w:szCs w:val="20"/>
        </w:rPr>
        <w:t xml:space="preserve">Osvetlenie chodníkov </w:t>
      </w:r>
      <w:r w:rsidR="00901F0B">
        <w:rPr>
          <w:rFonts w:ascii="Arial" w:hAnsi="Arial" w:cs="Arial"/>
          <w:bCs/>
          <w:sz w:val="20"/>
          <w:szCs w:val="20"/>
        </w:rPr>
        <w:t xml:space="preserve">vo vnútri areálu </w:t>
      </w:r>
      <w:r w:rsidRPr="003B6078">
        <w:rPr>
          <w:rFonts w:ascii="Arial" w:hAnsi="Arial" w:cs="Arial"/>
          <w:bCs/>
          <w:sz w:val="20"/>
          <w:szCs w:val="20"/>
        </w:rPr>
        <w:t xml:space="preserve">je navrhnuté LED svietidlami inštalovanými na </w:t>
      </w:r>
      <w:r w:rsidR="001B628C" w:rsidRPr="003B6078">
        <w:rPr>
          <w:rFonts w:ascii="Arial" w:hAnsi="Arial" w:cs="Arial"/>
          <w:bCs/>
          <w:sz w:val="20"/>
          <w:szCs w:val="20"/>
        </w:rPr>
        <w:t xml:space="preserve">pozinkovaných </w:t>
      </w:r>
      <w:r w:rsidRPr="003B6078">
        <w:rPr>
          <w:rFonts w:ascii="Arial" w:hAnsi="Arial" w:cs="Arial"/>
          <w:bCs/>
          <w:sz w:val="20"/>
          <w:szCs w:val="20"/>
        </w:rPr>
        <w:t xml:space="preserve">stožiaroch </w:t>
      </w:r>
      <w:r w:rsidR="001B628C" w:rsidRPr="003B6078">
        <w:rPr>
          <w:rFonts w:ascii="Arial" w:hAnsi="Arial" w:cs="Arial"/>
          <w:bCs/>
          <w:sz w:val="20"/>
          <w:szCs w:val="20"/>
        </w:rPr>
        <w:t>dĺžky 4m</w:t>
      </w:r>
      <w:r w:rsidR="00901F0B">
        <w:rPr>
          <w:rFonts w:ascii="Arial" w:hAnsi="Arial" w:cs="Arial"/>
          <w:bCs/>
          <w:sz w:val="20"/>
          <w:szCs w:val="20"/>
        </w:rPr>
        <w:t xml:space="preserve"> </w:t>
      </w:r>
      <w:r w:rsidR="001B628C" w:rsidRPr="003B6078">
        <w:rPr>
          <w:rFonts w:ascii="Arial" w:hAnsi="Arial" w:cs="Arial"/>
          <w:bCs/>
          <w:sz w:val="20"/>
          <w:szCs w:val="20"/>
        </w:rPr>
        <w:t>bez výložníkov</w:t>
      </w:r>
      <w:r w:rsidRPr="003B6078">
        <w:rPr>
          <w:rFonts w:ascii="Arial" w:hAnsi="Arial" w:cs="Arial"/>
          <w:bCs/>
          <w:sz w:val="20"/>
          <w:szCs w:val="20"/>
        </w:rPr>
        <w:t xml:space="preserve">. Typy svietidiel sú navrhnuté podľa požiadaviek prevádzkovateľa verejného osvetlenia mesta </w:t>
      </w:r>
      <w:r w:rsidR="003B6078" w:rsidRPr="003B6078">
        <w:rPr>
          <w:rFonts w:ascii="Arial" w:hAnsi="Arial" w:cs="Arial"/>
          <w:bCs/>
          <w:sz w:val="20"/>
          <w:szCs w:val="20"/>
        </w:rPr>
        <w:t>Bratislava</w:t>
      </w:r>
      <w:r w:rsidRPr="003B6078">
        <w:rPr>
          <w:rFonts w:ascii="Arial" w:hAnsi="Arial" w:cs="Arial"/>
          <w:bCs/>
          <w:sz w:val="20"/>
          <w:szCs w:val="20"/>
        </w:rPr>
        <w:t>.</w:t>
      </w:r>
      <w:r w:rsidR="003B6078">
        <w:rPr>
          <w:rFonts w:ascii="Arial" w:hAnsi="Arial" w:cs="Arial"/>
          <w:bCs/>
          <w:sz w:val="20"/>
          <w:szCs w:val="20"/>
        </w:rPr>
        <w:t xml:space="preserve"> </w:t>
      </w:r>
      <w:r w:rsidR="003337EC">
        <w:rPr>
          <w:rFonts w:ascii="Arial" w:hAnsi="Arial" w:cs="Arial"/>
          <w:bCs/>
          <w:sz w:val="20"/>
          <w:szCs w:val="20"/>
        </w:rPr>
        <w:t xml:space="preserve">Typy svietidiel, stožiarov sú uvedené vo výkresovej časti PD - </w:t>
      </w:r>
      <w:r w:rsidR="003337EC" w:rsidRPr="00D3623F">
        <w:rPr>
          <w:rFonts w:ascii="Arial" w:hAnsi="Arial" w:cs="Arial"/>
          <w:bCs/>
          <w:sz w:val="20"/>
          <w:szCs w:val="20"/>
        </w:rPr>
        <w:t>situácii.</w:t>
      </w:r>
      <w:r w:rsidR="003337EC" w:rsidRPr="00D3623F">
        <w:rPr>
          <w:rFonts w:ascii="Arial" w:hAnsi="Arial" w:cs="Arial"/>
          <w:sz w:val="20"/>
          <w:szCs w:val="20"/>
        </w:rPr>
        <w:t xml:space="preserve"> </w:t>
      </w:r>
      <w:r w:rsidR="003337EC">
        <w:rPr>
          <w:rFonts w:ascii="Arial" w:hAnsi="Arial" w:cs="Arial"/>
          <w:sz w:val="20"/>
          <w:szCs w:val="20"/>
        </w:rPr>
        <w:t>Stožiare sú navrhované ako rúrové vo farebnej úprave RAL 7016. Stožiare budú osadené do prefabrikovaných základov – detail osadenia a rozmery základov sú vo výkresovej časti PD.</w:t>
      </w:r>
    </w:p>
    <w:p w14:paraId="070B89C9" w14:textId="14CEDEF4" w:rsidR="005C1B77" w:rsidRPr="003B6078" w:rsidRDefault="003B6078" w:rsidP="003337EC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Rozvody VO</w:t>
      </w:r>
    </w:p>
    <w:p w14:paraId="60B19FBC" w14:textId="682C2C8B" w:rsidR="005C1B77" w:rsidRPr="00522A55" w:rsidRDefault="003B6078" w:rsidP="005C1B77">
      <w:pPr>
        <w:jc w:val="both"/>
        <w:rPr>
          <w:rFonts w:ascii="Arial" w:hAnsi="Arial" w:cs="Arial"/>
          <w:bCs/>
          <w:sz w:val="20"/>
          <w:szCs w:val="20"/>
          <w:highlight w:val="yellow"/>
        </w:rPr>
      </w:pPr>
      <w:r>
        <w:rPr>
          <w:rFonts w:ascii="Arial" w:hAnsi="Arial" w:cs="Arial"/>
          <w:bCs/>
          <w:sz w:val="20"/>
          <w:szCs w:val="20"/>
        </w:rPr>
        <w:t>Nové káblové rozvody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budú </w:t>
      </w:r>
      <w:r w:rsidR="005C1B77" w:rsidRPr="003B6078">
        <w:rPr>
          <w:rFonts w:ascii="Arial" w:hAnsi="Arial" w:cs="Arial"/>
          <w:bCs/>
          <w:sz w:val="20"/>
          <w:szCs w:val="20"/>
        </w:rPr>
        <w:t>napojené z</w:t>
      </w:r>
      <w:r w:rsidRPr="003B6078">
        <w:rPr>
          <w:rFonts w:ascii="Arial" w:hAnsi="Arial" w:cs="Arial"/>
          <w:bCs/>
          <w:sz w:val="20"/>
          <w:szCs w:val="20"/>
        </w:rPr>
        <w:t xml:space="preserve"> existujúcich rozvodov verejného osvetlenia v dane lokalite káblami </w:t>
      </w:r>
      <w:r w:rsidR="005C1B77" w:rsidRPr="003B6078">
        <w:rPr>
          <w:rFonts w:ascii="Arial" w:hAnsi="Arial" w:cs="Arial"/>
          <w:bCs/>
          <w:sz w:val="20"/>
          <w:szCs w:val="20"/>
        </w:rPr>
        <w:t>CYKY-J 4x</w:t>
      </w:r>
      <w:r w:rsidR="003337EC">
        <w:rPr>
          <w:rFonts w:ascii="Arial" w:hAnsi="Arial" w:cs="Arial"/>
          <w:bCs/>
          <w:sz w:val="20"/>
          <w:szCs w:val="20"/>
        </w:rPr>
        <w:t>10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 </w:t>
      </w:r>
      <w:r w:rsidRPr="003B6078">
        <w:rPr>
          <w:rFonts w:ascii="Arial" w:hAnsi="Arial" w:cs="Arial"/>
          <w:bCs/>
          <w:sz w:val="20"/>
          <w:szCs w:val="20"/>
        </w:rPr>
        <w:t xml:space="preserve">vedenými v chráničkách </w:t>
      </w:r>
      <w:r w:rsidR="003337EC">
        <w:rPr>
          <w:rFonts w:ascii="Arial" w:hAnsi="Arial" w:cs="Arial"/>
          <w:bCs/>
          <w:sz w:val="20"/>
          <w:szCs w:val="20"/>
        </w:rPr>
        <w:t xml:space="preserve">FXKVR63 </w:t>
      </w:r>
      <w:r w:rsidRPr="003B6078">
        <w:rPr>
          <w:rFonts w:ascii="Arial" w:hAnsi="Arial" w:cs="Arial"/>
          <w:bCs/>
          <w:sz w:val="20"/>
          <w:szCs w:val="20"/>
        </w:rPr>
        <w:t>v zemi</w:t>
      </w:r>
      <w:r w:rsidR="005C1B77" w:rsidRPr="003B6078">
        <w:rPr>
          <w:rFonts w:ascii="Arial" w:hAnsi="Arial" w:cs="Arial"/>
          <w:bCs/>
          <w:sz w:val="20"/>
          <w:szCs w:val="20"/>
        </w:rPr>
        <w:t xml:space="preserve">. </w:t>
      </w:r>
      <w:r w:rsidR="003337EC">
        <w:rPr>
          <w:rFonts w:ascii="Arial" w:hAnsi="Arial" w:cs="Arial"/>
          <w:bCs/>
          <w:sz w:val="20"/>
          <w:szCs w:val="20"/>
        </w:rPr>
        <w:t>Do výkopov budú nad dané vedenia uložené zákrytové dosky alebo fólie Fatrafol.</w:t>
      </w:r>
      <w:r w:rsidR="003337EC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Nové rozvody budú napojené z  existujúceho </w:t>
      </w:r>
      <w:r w:rsidR="003337EC">
        <w:rPr>
          <w:rFonts w:ascii="Arial" w:hAnsi="Arial" w:cs="Arial"/>
          <w:bCs/>
          <w:sz w:val="20"/>
          <w:szCs w:val="20"/>
        </w:rPr>
        <w:t>rozvádzača RVO 0536 na ulici Rožňavská</w:t>
      </w:r>
      <w:r>
        <w:rPr>
          <w:rFonts w:ascii="Arial" w:hAnsi="Arial" w:cs="Arial"/>
          <w:bCs/>
          <w:sz w:val="20"/>
          <w:szCs w:val="20"/>
        </w:rPr>
        <w:t xml:space="preserve">. </w:t>
      </w:r>
      <w:r w:rsidR="003337EC">
        <w:rPr>
          <w:rFonts w:ascii="Arial" w:hAnsi="Arial" w:cs="Arial"/>
          <w:bCs/>
          <w:sz w:val="20"/>
          <w:szCs w:val="20"/>
        </w:rPr>
        <w:t xml:space="preserve">Pri ulici Banšelova bude realizovaný rezervný prepoj k svietidlu na ulici Banšelova. </w:t>
      </w:r>
      <w:r w:rsidRPr="003B6078">
        <w:rPr>
          <w:rFonts w:ascii="Arial" w:hAnsi="Arial" w:cs="Arial"/>
          <w:bCs/>
          <w:sz w:val="20"/>
          <w:szCs w:val="20"/>
        </w:rPr>
        <w:t xml:space="preserve">Vedenia VO budú slučkované cez stožiarové svorkovnice </w:t>
      </w:r>
      <w:r w:rsidR="003337EC">
        <w:rPr>
          <w:rFonts w:ascii="Arial" w:hAnsi="Arial" w:cs="Arial"/>
          <w:bCs/>
          <w:sz w:val="20"/>
          <w:szCs w:val="20"/>
        </w:rPr>
        <w:t>GURO EKM 2050</w:t>
      </w:r>
      <w:r w:rsidRPr="003B6078">
        <w:rPr>
          <w:rFonts w:ascii="Arial" w:hAnsi="Arial" w:cs="Arial"/>
          <w:bCs/>
          <w:sz w:val="20"/>
          <w:szCs w:val="20"/>
        </w:rPr>
        <w:t xml:space="preserve"> jednotlivých stožiarov. </w:t>
      </w:r>
      <w:r>
        <w:rPr>
          <w:rFonts w:ascii="Arial" w:hAnsi="Arial" w:cs="Arial"/>
          <w:bCs/>
          <w:sz w:val="20"/>
          <w:szCs w:val="20"/>
        </w:rPr>
        <w:t xml:space="preserve">Za daných svorkovníc budú napojené jednotlivé svietidlá káblami typu CYKY-J 3x1,5 cez poistky 10A. </w:t>
      </w:r>
    </w:p>
    <w:p w14:paraId="1949E696" w14:textId="74A2442B" w:rsidR="005C1B77" w:rsidRPr="003B6078" w:rsidRDefault="003B6078" w:rsidP="005C1B7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3B6078">
        <w:rPr>
          <w:rFonts w:ascii="Arial" w:hAnsi="Arial" w:cs="Arial"/>
          <w:b/>
          <w:bCs/>
          <w:sz w:val="20"/>
          <w:szCs w:val="20"/>
        </w:rPr>
        <w:t xml:space="preserve">Ovládanie </w:t>
      </w:r>
      <w:r w:rsidR="005C1B77" w:rsidRPr="003B6078">
        <w:rPr>
          <w:rFonts w:ascii="Arial" w:hAnsi="Arial" w:cs="Arial"/>
          <w:b/>
          <w:bCs/>
          <w:sz w:val="20"/>
          <w:szCs w:val="20"/>
        </w:rPr>
        <w:t>osvetlenia</w:t>
      </w:r>
    </w:p>
    <w:p w14:paraId="431FC290" w14:textId="51998A58" w:rsidR="005C1B77" w:rsidRPr="003B6078" w:rsidRDefault="003B6078" w:rsidP="005C1B77">
      <w:pPr>
        <w:jc w:val="both"/>
        <w:rPr>
          <w:rFonts w:ascii="Arial" w:hAnsi="Arial" w:cs="Arial"/>
          <w:sz w:val="20"/>
          <w:szCs w:val="20"/>
        </w:rPr>
      </w:pPr>
      <w:r w:rsidRPr="003B6078">
        <w:rPr>
          <w:rFonts w:ascii="Arial" w:hAnsi="Arial" w:cs="Arial"/>
          <w:sz w:val="20"/>
          <w:szCs w:val="20"/>
        </w:rPr>
        <w:t>Je riešené v existujúcom rozvádzači verejného osvetlenia, ostáva bez zmeny.</w:t>
      </w:r>
    </w:p>
    <w:p w14:paraId="6D7E195D" w14:textId="77777777" w:rsidR="005C1B77" w:rsidRPr="00DE13EE" w:rsidRDefault="005C1B77" w:rsidP="005C1B7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E13EE">
        <w:rPr>
          <w:rFonts w:ascii="Arial" w:hAnsi="Arial" w:cs="Arial"/>
          <w:b/>
          <w:sz w:val="20"/>
          <w:szCs w:val="20"/>
        </w:rPr>
        <w:t>Uzemnenie</w:t>
      </w:r>
    </w:p>
    <w:p w14:paraId="5E50E399" w14:textId="77777777" w:rsidR="003337EC" w:rsidRPr="00DE13EE" w:rsidRDefault="003337EC" w:rsidP="003337EC">
      <w:pPr>
        <w:jc w:val="both"/>
        <w:rPr>
          <w:rFonts w:ascii="Arial" w:hAnsi="Arial" w:cs="Arial"/>
          <w:sz w:val="20"/>
          <w:szCs w:val="20"/>
        </w:rPr>
      </w:pPr>
      <w:r w:rsidRPr="00DE13EE">
        <w:rPr>
          <w:rFonts w:ascii="Arial" w:hAnsi="Arial" w:cs="Arial"/>
          <w:sz w:val="20"/>
          <w:szCs w:val="20"/>
        </w:rPr>
        <w:t xml:space="preserve">Spolu s napájacím káblom vedeným v zemi bude do zeme položený uzemňovací pásik 30x4, ku ktorému budú jednotlivé stožiare pripojené pomocou kruhového vodiča </w:t>
      </w:r>
      <w:r>
        <w:rPr>
          <w:rFonts w:ascii="Arial" w:hAnsi="Arial" w:cs="Arial"/>
          <w:sz w:val="20"/>
          <w:szCs w:val="20"/>
        </w:rPr>
        <w:t xml:space="preserve">FeZn D10 </w:t>
      </w:r>
      <w:r w:rsidRPr="00DE13EE">
        <w:rPr>
          <w:rFonts w:ascii="Arial" w:hAnsi="Arial" w:cs="Arial"/>
          <w:sz w:val="20"/>
          <w:szCs w:val="20"/>
        </w:rPr>
        <w:t xml:space="preserve">pripojeného na strane pásika krížovou svorkou pre pás a kruhový vodič a na strane stožiara </w:t>
      </w:r>
      <w:r>
        <w:rPr>
          <w:rFonts w:ascii="Arial" w:hAnsi="Arial" w:cs="Arial"/>
          <w:sz w:val="20"/>
          <w:szCs w:val="20"/>
        </w:rPr>
        <w:t>pomocou káblového oka. Cez základový veniec bude vodič vedený v chráničke D25 a následne opatrený zmršťovacou bužírkou žltozelenej farby.</w:t>
      </w:r>
    </w:p>
    <w:p w14:paraId="028EDD89" w14:textId="77777777" w:rsidR="005C1B77" w:rsidRPr="00DE13EE" w:rsidRDefault="005C1B77" w:rsidP="005C1B77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DE13EE">
        <w:rPr>
          <w:rFonts w:ascii="Arial" w:hAnsi="Arial" w:cs="Arial"/>
          <w:b/>
          <w:i/>
          <w:sz w:val="20"/>
          <w:szCs w:val="20"/>
        </w:rPr>
        <w:t>Všetky ďalšie špecifikácie týkajúce sa napojenia VO, typu LED svietidiel, uloženia trasy VO a iné sú zrejmé z výkresovej časti PD.</w:t>
      </w:r>
    </w:p>
    <w:p w14:paraId="3DD57675" w14:textId="77777777" w:rsidR="005C1B77" w:rsidRPr="00DE13EE" w:rsidRDefault="005C1B77" w:rsidP="005C1B7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12E4E5B" w14:textId="35448BF6" w:rsidR="005C1B77" w:rsidRDefault="005C1B77" w:rsidP="005C1B77">
      <w:pPr>
        <w:spacing w:line="240" w:lineRule="auto"/>
        <w:jc w:val="both"/>
        <w:rPr>
          <w:rFonts w:ascii="Arial" w:hAnsi="Arial" w:cs="Arial"/>
          <w:b/>
          <w:sz w:val="28"/>
          <w:szCs w:val="28"/>
          <w:lang w:val="en-US"/>
        </w:rPr>
      </w:pPr>
      <w:r w:rsidRPr="00DE13EE">
        <w:rPr>
          <w:rFonts w:ascii="Arial" w:eastAsia="Calibri" w:hAnsi="Arial" w:cs="Arial"/>
          <w:sz w:val="20"/>
          <w:szCs w:val="20"/>
        </w:rPr>
        <w:t xml:space="preserve">V Bratislave, </w:t>
      </w:r>
      <w:r w:rsidR="0075283D">
        <w:rPr>
          <w:rFonts w:ascii="Arial" w:eastAsia="Calibri" w:hAnsi="Arial" w:cs="Arial"/>
          <w:sz w:val="20"/>
          <w:szCs w:val="20"/>
        </w:rPr>
        <w:t>0</w:t>
      </w:r>
      <w:r w:rsidR="003337EC">
        <w:rPr>
          <w:rFonts w:ascii="Arial" w:eastAsia="Calibri" w:hAnsi="Arial" w:cs="Arial"/>
          <w:sz w:val="20"/>
          <w:szCs w:val="20"/>
        </w:rPr>
        <w:t>9</w:t>
      </w:r>
      <w:r w:rsidR="0075283D">
        <w:rPr>
          <w:rFonts w:ascii="Arial" w:eastAsia="Calibri" w:hAnsi="Arial" w:cs="Arial"/>
          <w:sz w:val="20"/>
          <w:szCs w:val="20"/>
        </w:rPr>
        <w:t>/</w:t>
      </w:r>
      <w:r w:rsidRPr="00DE13EE">
        <w:rPr>
          <w:rFonts w:ascii="Arial" w:eastAsia="Calibri" w:hAnsi="Arial" w:cs="Arial"/>
          <w:sz w:val="20"/>
          <w:szCs w:val="20"/>
        </w:rPr>
        <w:t>202</w:t>
      </w:r>
      <w:r w:rsidR="003337EC">
        <w:rPr>
          <w:rFonts w:ascii="Arial" w:eastAsia="Calibri" w:hAnsi="Arial" w:cs="Arial"/>
          <w:sz w:val="20"/>
          <w:szCs w:val="20"/>
        </w:rPr>
        <w:t>4</w:t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</w:r>
      <w:r w:rsidRPr="00DE13EE">
        <w:rPr>
          <w:rFonts w:ascii="Arial" w:eastAsia="Calibri" w:hAnsi="Arial" w:cs="Arial"/>
          <w:sz w:val="20"/>
          <w:szCs w:val="20"/>
        </w:rPr>
        <w:tab/>
        <w:t xml:space="preserve">             Ing. Peter Jašš</w:t>
      </w:r>
    </w:p>
    <w:p w14:paraId="4C26D880" w14:textId="252A1A78" w:rsidR="008101F5" w:rsidRPr="001262CD" w:rsidRDefault="008101F5" w:rsidP="001262CD"/>
    <w:sectPr w:rsidR="008101F5" w:rsidRPr="001262CD" w:rsidSect="00396D38">
      <w:headerReference w:type="default" r:id="rId7"/>
      <w:footerReference w:type="default" r:id="rId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7EA73" w14:textId="77777777" w:rsidR="003E585E" w:rsidRDefault="003E585E" w:rsidP="00396D38">
      <w:pPr>
        <w:spacing w:after="0" w:line="240" w:lineRule="auto"/>
      </w:pPr>
      <w:r>
        <w:separator/>
      </w:r>
    </w:p>
  </w:endnote>
  <w:endnote w:type="continuationSeparator" w:id="0">
    <w:p w14:paraId="2CAA408E" w14:textId="77777777" w:rsidR="003E585E" w:rsidRDefault="003E585E" w:rsidP="00396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7BA79" w14:textId="77777777" w:rsidR="003E585E" w:rsidRDefault="003E585E" w:rsidP="00396D38">
    <w:pPr>
      <w:pBdr>
        <w:top w:val="single" w:sz="4" w:space="1" w:color="auto"/>
      </w:pBd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PaRELI s.r.o., Vlárska 50/A, 831 01 Bratislava</w:t>
    </w:r>
  </w:p>
  <w:p w14:paraId="55D979DD" w14:textId="77777777" w:rsidR="003E585E" w:rsidRDefault="003E585E" w:rsidP="00396D38">
    <w:pPr>
      <w:spacing w:after="0"/>
      <w:jc w:val="center"/>
      <w:rPr>
        <w:rFonts w:eastAsiaTheme="minorEastAsia"/>
        <w:noProof/>
        <w:sz w:val="18"/>
        <w:szCs w:val="18"/>
        <w:lang w:eastAsia="sk-SK"/>
      </w:rPr>
    </w:pPr>
    <w:r>
      <w:rPr>
        <w:rFonts w:eastAsiaTheme="minorEastAsia"/>
        <w:noProof/>
        <w:sz w:val="18"/>
        <w:szCs w:val="18"/>
        <w:lang w:eastAsia="sk-SK"/>
      </w:rPr>
      <w:t>IČO: 47 205 555, IČ DPH: SK2023803188</w:t>
    </w:r>
  </w:p>
  <w:p w14:paraId="1324FF2F" w14:textId="4C044AF0" w:rsidR="003E585E" w:rsidRPr="00396D38" w:rsidRDefault="003E585E" w:rsidP="00396D38">
    <w:pPr>
      <w:spacing w:after="0"/>
      <w:jc w:val="center"/>
      <w:rPr>
        <w:rFonts w:eastAsiaTheme="minorEastAsia"/>
        <w:b/>
        <w:noProof/>
        <w:sz w:val="18"/>
        <w:szCs w:val="18"/>
        <w:lang w:eastAsia="sk-SK"/>
      </w:rPr>
    </w:pPr>
    <w:r>
      <w:rPr>
        <w:rFonts w:eastAsiaTheme="minorEastAsia"/>
        <w:b/>
        <w:noProof/>
        <w:sz w:val="18"/>
        <w:szCs w:val="18"/>
        <w:lang w:eastAsia="sk-SK"/>
      </w:rPr>
      <w:t xml:space="preserve">Office: </w:t>
    </w:r>
    <w:r w:rsidR="00226A01">
      <w:rPr>
        <w:b/>
        <w:bCs/>
        <w:sz w:val="18"/>
        <w:szCs w:val="18"/>
        <w:lang w:eastAsia="sk-SK"/>
      </w:rPr>
      <w:t>Haydnova ul. 20/C, 811 02 Bratislava – Staré Mesto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D23AA9" w14:textId="77777777" w:rsidR="003E585E" w:rsidRDefault="003E585E" w:rsidP="00396D38">
      <w:pPr>
        <w:spacing w:after="0" w:line="240" w:lineRule="auto"/>
      </w:pPr>
      <w:r>
        <w:separator/>
      </w:r>
    </w:p>
  </w:footnote>
  <w:footnote w:type="continuationSeparator" w:id="0">
    <w:p w14:paraId="5B6F3C5A" w14:textId="77777777" w:rsidR="003E585E" w:rsidRDefault="003E585E" w:rsidP="00396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9430E" w14:textId="46659846" w:rsidR="003E585E" w:rsidRDefault="003E585E" w:rsidP="00396D38">
    <w:pPr>
      <w:pStyle w:val="Hlavika"/>
      <w:pBdr>
        <w:bottom w:val="single" w:sz="4" w:space="1" w:color="auto"/>
      </w:pBdr>
      <w:tabs>
        <w:tab w:val="clear" w:pos="9072"/>
        <w:tab w:val="left" w:pos="3402"/>
        <w:tab w:val="left" w:pos="5825"/>
      </w:tabs>
    </w:pPr>
    <w:r>
      <w:rPr>
        <w:noProof/>
        <w:lang w:eastAsia="sk-SK"/>
      </w:rPr>
      <w:drawing>
        <wp:inline distT="0" distB="0" distL="0" distR="0" wp14:anchorId="26A2DEC8" wp14:editId="428F93B1">
          <wp:extent cx="1859243" cy="363415"/>
          <wp:effectExtent l="19050" t="0" r="7657" b="0"/>
          <wp:docPr id="2" name="Obrázok 1" descr="PaRELI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RELI 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9251" cy="3634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</w:t>
    </w:r>
    <w:r>
      <w:tab/>
    </w:r>
    <w:r w:rsidR="002A2A89">
      <w:tab/>
    </w:r>
    <w:r w:rsidR="002A2A89">
      <w:tab/>
    </w:r>
    <w:r w:rsidR="002A2A8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6B6122"/>
    <w:multiLevelType w:val="hybridMultilevel"/>
    <w:tmpl w:val="AFDC04EE"/>
    <w:lvl w:ilvl="0" w:tplc="99F835BA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3204" w:hanging="360"/>
      </w:pPr>
    </w:lvl>
    <w:lvl w:ilvl="2" w:tplc="041B001B" w:tentative="1">
      <w:start w:val="1"/>
      <w:numFmt w:val="lowerRoman"/>
      <w:lvlText w:val="%3."/>
      <w:lvlJc w:val="right"/>
      <w:pPr>
        <w:ind w:left="3924" w:hanging="180"/>
      </w:pPr>
    </w:lvl>
    <w:lvl w:ilvl="3" w:tplc="041B000F" w:tentative="1">
      <w:start w:val="1"/>
      <w:numFmt w:val="decimal"/>
      <w:lvlText w:val="%4."/>
      <w:lvlJc w:val="left"/>
      <w:pPr>
        <w:ind w:left="4644" w:hanging="360"/>
      </w:pPr>
    </w:lvl>
    <w:lvl w:ilvl="4" w:tplc="041B0019" w:tentative="1">
      <w:start w:val="1"/>
      <w:numFmt w:val="lowerLetter"/>
      <w:lvlText w:val="%5."/>
      <w:lvlJc w:val="left"/>
      <w:pPr>
        <w:ind w:left="5364" w:hanging="360"/>
      </w:pPr>
    </w:lvl>
    <w:lvl w:ilvl="5" w:tplc="041B001B" w:tentative="1">
      <w:start w:val="1"/>
      <w:numFmt w:val="lowerRoman"/>
      <w:lvlText w:val="%6."/>
      <w:lvlJc w:val="right"/>
      <w:pPr>
        <w:ind w:left="6084" w:hanging="180"/>
      </w:pPr>
    </w:lvl>
    <w:lvl w:ilvl="6" w:tplc="041B000F" w:tentative="1">
      <w:start w:val="1"/>
      <w:numFmt w:val="decimal"/>
      <w:lvlText w:val="%7."/>
      <w:lvlJc w:val="left"/>
      <w:pPr>
        <w:ind w:left="6804" w:hanging="360"/>
      </w:pPr>
    </w:lvl>
    <w:lvl w:ilvl="7" w:tplc="041B0019" w:tentative="1">
      <w:start w:val="1"/>
      <w:numFmt w:val="lowerLetter"/>
      <w:lvlText w:val="%8."/>
      <w:lvlJc w:val="left"/>
      <w:pPr>
        <w:ind w:left="7524" w:hanging="360"/>
      </w:pPr>
    </w:lvl>
    <w:lvl w:ilvl="8" w:tplc="041B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" w15:restartNumberingAfterBreak="0">
    <w:nsid w:val="3E515B1E"/>
    <w:multiLevelType w:val="hybridMultilevel"/>
    <w:tmpl w:val="BBF41DF0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7CF0505F"/>
    <w:multiLevelType w:val="hybridMultilevel"/>
    <w:tmpl w:val="100C2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C4029"/>
    <w:multiLevelType w:val="hybridMultilevel"/>
    <w:tmpl w:val="45F2CD4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701719">
    <w:abstractNumId w:val="1"/>
  </w:num>
  <w:num w:numId="2" w16cid:durableId="173470023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98217512">
    <w:abstractNumId w:val="0"/>
  </w:num>
  <w:num w:numId="4" w16cid:durableId="372652758">
    <w:abstractNumId w:val="2"/>
  </w:num>
  <w:num w:numId="5" w16cid:durableId="13849833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6D38"/>
    <w:rsid w:val="00037062"/>
    <w:rsid w:val="000A05AE"/>
    <w:rsid w:val="000C1F0B"/>
    <w:rsid w:val="000D65AE"/>
    <w:rsid w:val="000E6ED6"/>
    <w:rsid w:val="001262CD"/>
    <w:rsid w:val="00126472"/>
    <w:rsid w:val="00143F3D"/>
    <w:rsid w:val="00151258"/>
    <w:rsid w:val="001B628C"/>
    <w:rsid w:val="00226A01"/>
    <w:rsid w:val="002836EA"/>
    <w:rsid w:val="00287B10"/>
    <w:rsid w:val="002A2A89"/>
    <w:rsid w:val="002C5695"/>
    <w:rsid w:val="002D0ED4"/>
    <w:rsid w:val="002F3677"/>
    <w:rsid w:val="003337EC"/>
    <w:rsid w:val="00396D38"/>
    <w:rsid w:val="003B6078"/>
    <w:rsid w:val="003D3D1D"/>
    <w:rsid w:val="003E585E"/>
    <w:rsid w:val="00522A55"/>
    <w:rsid w:val="005469B5"/>
    <w:rsid w:val="00564D54"/>
    <w:rsid w:val="00583F94"/>
    <w:rsid w:val="005C1B77"/>
    <w:rsid w:val="00620962"/>
    <w:rsid w:val="00657058"/>
    <w:rsid w:val="006A7830"/>
    <w:rsid w:val="006F783A"/>
    <w:rsid w:val="0075283D"/>
    <w:rsid w:val="008101F5"/>
    <w:rsid w:val="00901F0B"/>
    <w:rsid w:val="009A6250"/>
    <w:rsid w:val="00A96D6B"/>
    <w:rsid w:val="00D3623F"/>
    <w:rsid w:val="00DC0388"/>
    <w:rsid w:val="00DE13EE"/>
    <w:rsid w:val="00EB0488"/>
    <w:rsid w:val="00ED40D1"/>
    <w:rsid w:val="00F707C4"/>
    <w:rsid w:val="00F84419"/>
    <w:rsid w:val="00FC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EDF4E7"/>
  <w15:docId w15:val="{720249E8-1F88-4381-AC0F-601C74AE0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E13EE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96D38"/>
  </w:style>
  <w:style w:type="paragraph" w:styleId="Pta">
    <w:name w:val="footer"/>
    <w:basedOn w:val="Normlny"/>
    <w:link w:val="PtaChar"/>
    <w:uiPriority w:val="99"/>
    <w:unhideWhenUsed/>
    <w:rsid w:val="00396D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96D38"/>
  </w:style>
  <w:style w:type="paragraph" w:styleId="Textbubliny">
    <w:name w:val="Balloon Text"/>
    <w:basedOn w:val="Normlny"/>
    <w:link w:val="TextbublinyChar"/>
    <w:uiPriority w:val="99"/>
    <w:semiHidden/>
    <w:unhideWhenUsed/>
    <w:rsid w:val="00396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96D38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396D38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2F3677"/>
    <w:rPr>
      <w:i/>
      <w:iCs/>
    </w:rPr>
  </w:style>
  <w:style w:type="character" w:styleId="Hypertextovprepojenie">
    <w:name w:val="Hyperlink"/>
    <w:basedOn w:val="Predvolenpsmoodseku"/>
    <w:uiPriority w:val="99"/>
    <w:semiHidden/>
    <w:unhideWhenUsed/>
    <w:rsid w:val="002F36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2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8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922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jasur</dc:creator>
  <cp:lastModifiedBy>jass@pareli.sk</cp:lastModifiedBy>
  <cp:revision>21</cp:revision>
  <dcterms:created xsi:type="dcterms:W3CDTF">2023-01-03T15:40:00Z</dcterms:created>
  <dcterms:modified xsi:type="dcterms:W3CDTF">2024-09-05T09:23:00Z</dcterms:modified>
</cp:coreProperties>
</file>